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03D14">
            <w:rPr>
              <w:rFonts w:ascii="Times New Roman" w:hAnsi="Times New Roman" w:cs="Times New Roman"/>
              <w:sz w:val="24"/>
              <w:szCs w:val="24"/>
            </w:rPr>
            <w:t xml:space="preserve">21 </w:t>
          </w:r>
          <w:r w:rsidR="00383C5F">
            <w:rPr>
              <w:rFonts w:ascii="Times New Roman" w:hAnsi="Times New Roman" w:cs="Times New Roman"/>
              <w:sz w:val="24"/>
              <w:szCs w:val="24"/>
            </w:rPr>
            <w:t>października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E06EA5">
        <w:rPr>
          <w:rFonts w:ascii="Times New Roman" w:hAnsi="Times New Roman" w:cs="Times New Roman"/>
          <w:color w:val="000000"/>
          <w:sz w:val="24"/>
          <w:szCs w:val="24"/>
        </w:rPr>
        <w:t>ZP-371-50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760B" w:rsidRDefault="00933170" w:rsidP="00E06EA5">
      <w:pPr>
        <w:spacing w:after="0" w:line="240" w:lineRule="auto"/>
        <w:rPr>
          <w:rFonts w:ascii="Times New Roman" w:hAnsi="Times New Roman" w:cs="Times New Roman"/>
        </w:rPr>
      </w:pPr>
      <w:r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06EA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EA5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E06EA5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E06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E06EA5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E06EA5">
        <w:rPr>
          <w:rFonts w:ascii="Times New Roman" w:hAnsi="Times New Roman" w:cs="Times New Roman"/>
          <w:sz w:val="24"/>
          <w:szCs w:val="24"/>
        </w:rPr>
        <w:t xml:space="preserve">sukcesywną dostawę </w:t>
      </w:r>
      <w:r w:rsidR="00E06EA5" w:rsidRPr="00E06EA5">
        <w:rPr>
          <w:rFonts w:ascii="Times New Roman" w:hAnsi="Times New Roman" w:cs="Times New Roman"/>
        </w:rPr>
        <w:t xml:space="preserve">środków </w:t>
      </w:r>
    </w:p>
    <w:p w:rsidR="00D9760B" w:rsidRDefault="00D9760B" w:rsidP="00E06EA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</w:t>
      </w:r>
      <w:r w:rsidR="00E06EA5" w:rsidRPr="00E06EA5">
        <w:rPr>
          <w:rFonts w:ascii="Times New Roman" w:hAnsi="Times New Roman" w:cs="Times New Roman"/>
        </w:rPr>
        <w:t xml:space="preserve">do dezynfekcji i kontrastów </w:t>
      </w:r>
      <w:r w:rsidR="00E06EA5" w:rsidRPr="00E06EA5">
        <w:rPr>
          <w:rFonts w:ascii="Times New Roman" w:hAnsi="Times New Roman" w:cs="Times New Roman"/>
          <w:bCs/>
        </w:rPr>
        <w:t>na potrzeby Szpitala Na Wyspie Sp. o.o. w Żarach</w:t>
      </w:r>
      <w:r w:rsidR="00E06EA5">
        <w:rPr>
          <w:rFonts w:ascii="Times New Roman" w:hAnsi="Times New Roman" w:cs="Times New Roman"/>
          <w:bCs/>
        </w:rPr>
        <w:t xml:space="preserve"> w podziale na  dziewięć </w:t>
      </w:r>
    </w:p>
    <w:p w:rsidR="00E06EA5" w:rsidRDefault="00D9760B" w:rsidP="00E06EA5">
      <w:pPr>
        <w:spacing w:after="0" w:line="240" w:lineRule="auto"/>
      </w:pPr>
      <w:r>
        <w:rPr>
          <w:rFonts w:ascii="Times New Roman" w:hAnsi="Times New Roman" w:cs="Times New Roman"/>
          <w:bCs/>
        </w:rPr>
        <w:t xml:space="preserve">                </w:t>
      </w:r>
      <w:r w:rsidR="00E06EA5">
        <w:rPr>
          <w:rFonts w:ascii="Times New Roman" w:hAnsi="Times New Roman" w:cs="Times New Roman"/>
          <w:bCs/>
        </w:rPr>
        <w:t>zadań/części.</w:t>
      </w:r>
      <w:r w:rsidR="00E06EA5">
        <w:t xml:space="preserve"> </w:t>
      </w:r>
    </w:p>
    <w:p w:rsidR="00383C5F" w:rsidRPr="00F87E95" w:rsidRDefault="00383C5F" w:rsidP="00383C5F">
      <w:pPr>
        <w:spacing w:after="0" w:line="240" w:lineRule="auto"/>
        <w:jc w:val="both"/>
        <w:rPr>
          <w:bCs/>
        </w:rPr>
      </w:pPr>
    </w:p>
    <w:p w:rsidR="002C3A1F" w:rsidRPr="002C3A1F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EA5" w:rsidRPr="00F03D14" w:rsidRDefault="00476FB1" w:rsidP="00F03D14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 otrzymanym wnioskiem Wykonawców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E06EA5" w:rsidRPr="00E06EA5" w:rsidRDefault="00E06EA5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06EA5">
        <w:rPr>
          <w:rFonts w:ascii="Times New Roman" w:hAnsi="Times New Roman" w:cs="Times New Roman"/>
          <w:sz w:val="24"/>
          <w:szCs w:val="24"/>
          <w:lang w:eastAsia="pl-PL"/>
        </w:rPr>
        <w:t>Czy Zamawiający w Zadaniu 7 poz. 1 dopuści:</w:t>
      </w:r>
    </w:p>
    <w:p w:rsidR="00E06EA5" w:rsidRPr="00E06EA5" w:rsidRDefault="00E06EA5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06EA5">
        <w:rPr>
          <w:rFonts w:ascii="Times New Roman" w:hAnsi="Times New Roman" w:cs="Times New Roman"/>
          <w:sz w:val="24"/>
          <w:szCs w:val="24"/>
          <w:lang w:eastAsia="pl-PL"/>
        </w:rPr>
        <w:t>rozmiar gazika 12cmx12.5cm, dopuszczone do stosowania u niemowląt i dzieci przez Instytutu Matki i Dziecka?</w:t>
      </w:r>
    </w:p>
    <w:p w:rsidR="00E06EA5" w:rsidRDefault="00F03D14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Wyjaśnienie</w:t>
      </w:r>
    </w:p>
    <w:p w:rsidR="00F03D14" w:rsidRPr="00E06EA5" w:rsidRDefault="00A47205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dopuszcza</w:t>
      </w:r>
      <w:r w:rsidR="00F03D1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E06EA5" w:rsidRPr="00E06EA5" w:rsidRDefault="00E06EA5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EA5" w:rsidRPr="00E06EA5" w:rsidRDefault="00E06EA5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06EA5">
        <w:rPr>
          <w:rFonts w:ascii="Times New Roman" w:hAnsi="Times New Roman" w:cs="Times New Roman"/>
          <w:sz w:val="24"/>
          <w:szCs w:val="24"/>
          <w:lang w:eastAsia="pl-PL"/>
        </w:rPr>
        <w:t>Czy Zamawiający w Zadaniu 7 poz. 2 dopuści:</w:t>
      </w:r>
    </w:p>
    <w:p w:rsidR="00E06EA5" w:rsidRDefault="00E06EA5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06EA5">
        <w:rPr>
          <w:rFonts w:ascii="Times New Roman" w:hAnsi="Times New Roman" w:cs="Times New Roman"/>
          <w:sz w:val="24"/>
          <w:szCs w:val="24"/>
          <w:lang w:eastAsia="pl-PL"/>
        </w:rPr>
        <w:t>rozmiar gazika 12cmx12.5cm?</w:t>
      </w:r>
    </w:p>
    <w:p w:rsidR="00F03D14" w:rsidRDefault="00F03D14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Wyjaśnienie</w:t>
      </w:r>
    </w:p>
    <w:p w:rsidR="00F03D14" w:rsidRPr="00E06EA5" w:rsidRDefault="00A47205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dopuszcza</w:t>
      </w:r>
      <w:r w:rsidR="00F03D1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F03D14" w:rsidRPr="00E06EA5" w:rsidRDefault="00F03D14" w:rsidP="00E06E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D14" w:rsidRDefault="00F03D14" w:rsidP="00F03D14">
      <w:pPr>
        <w:rPr>
          <w:rFonts w:ascii="Times New Roman" w:hAnsi="Times New Roman" w:cs="Times New Roman"/>
        </w:rPr>
      </w:pPr>
      <w:r w:rsidRPr="00F03D14">
        <w:rPr>
          <w:rFonts w:ascii="Times New Roman" w:hAnsi="Times New Roman" w:cs="Times New Roman"/>
        </w:rPr>
        <w:t>Do treści §2 ust. 6 wzoru umowy. Czy Zamawiający odstąpi od wymogu informowania i dokumentowania zmian stawek podatku VAT oraz cen urzędowych? Naszą prośbę motywujemy faktem, iż niniejsze zmiany wynikają ze zmian prawa powszechnie obowiązującego, a co za tym idzie – informacje o takich zmianach są powszechnie dostępne.</w:t>
      </w:r>
    </w:p>
    <w:p w:rsidR="00F03D14" w:rsidRDefault="00F03D14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Wyjaśnienie</w:t>
      </w:r>
    </w:p>
    <w:p w:rsidR="00F03D14" w:rsidRDefault="00F03D14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Treść</w:t>
      </w:r>
      <w:r w:rsidRPr="00F03D14">
        <w:rPr>
          <w:rFonts w:ascii="Times New Roman" w:hAnsi="Times New Roman" w:cs="Times New Roman"/>
        </w:rPr>
        <w:t xml:space="preserve"> §2 ust. 6 wzoru umowy</w:t>
      </w:r>
      <w:r>
        <w:rPr>
          <w:rFonts w:ascii="Times New Roman" w:hAnsi="Times New Roman" w:cs="Times New Roman"/>
        </w:rPr>
        <w:t xml:space="preserve"> pozostaje bez zmian.</w:t>
      </w:r>
    </w:p>
    <w:p w:rsidR="00F03D14" w:rsidRPr="00F03D14" w:rsidRDefault="00F03D14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D14" w:rsidRPr="00F03D14" w:rsidRDefault="00F03D14" w:rsidP="00F03D14">
      <w:pPr>
        <w:rPr>
          <w:rFonts w:ascii="Times New Roman" w:hAnsi="Times New Roman" w:cs="Times New Roman"/>
        </w:rPr>
      </w:pPr>
      <w:r w:rsidRPr="00F03D14">
        <w:rPr>
          <w:rFonts w:ascii="Times New Roman" w:hAnsi="Times New Roman" w:cs="Times New Roman"/>
        </w:rPr>
        <w:t>Do §3 ust.6) i 7)  projektu umowy. Zamawiający zastrzega sobie możliwość dowolnego ograniczenia ilościowego zamówienia, ale nie określił jego warunków, m.in. nie wskazał w jakich okolicznościach zmniejszenie takie mogłoby mieć miejsce, ani nie wskazał w żaden sposób granic zmian ilościowych odnośnie pozycji itp. Zgodnie z art. 144 ust. 2, w związku z art. 144 ust. 1-1b, 1d, 1e Ustawy PZP, brak określenia warunków zmiany umowy będzie przesądzać o nieważności §§3 ust.6) i 7)   wzoru umowy. Czy z związku z tym, Zamawiający odstąpi od tych zapisów w umowie?</w:t>
      </w:r>
    </w:p>
    <w:p w:rsidR="00F03D14" w:rsidRDefault="00F03D14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Wyjaśnienie</w:t>
      </w:r>
    </w:p>
    <w:p w:rsidR="00985F23" w:rsidRPr="00985F23" w:rsidRDefault="00F03D14" w:rsidP="00985F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Treść §3</w:t>
      </w:r>
      <w:r w:rsidRPr="00F03D14">
        <w:rPr>
          <w:rFonts w:ascii="Times New Roman" w:hAnsi="Times New Roman" w:cs="Times New Roman"/>
        </w:rPr>
        <w:t xml:space="preserve"> ust. 6</w:t>
      </w:r>
      <w:r>
        <w:rPr>
          <w:rFonts w:ascii="Times New Roman" w:hAnsi="Times New Roman" w:cs="Times New Roman"/>
        </w:rPr>
        <w:t>) i 7)</w:t>
      </w:r>
      <w:r w:rsidRPr="00F03D14">
        <w:rPr>
          <w:rFonts w:ascii="Times New Roman" w:hAnsi="Times New Roman" w:cs="Times New Roman"/>
        </w:rPr>
        <w:t xml:space="preserve"> wzoru umowy</w:t>
      </w:r>
      <w:r>
        <w:rPr>
          <w:rFonts w:ascii="Times New Roman" w:hAnsi="Times New Roman" w:cs="Times New Roman"/>
        </w:rPr>
        <w:t xml:space="preserve"> pozostaje bez zmian.</w:t>
      </w:r>
      <w:r w:rsidR="00985F23" w:rsidRPr="00985F2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85F2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Zamawiający będzie składał zamówienia w  ilościach  określonych w przetargu. W przypadku niewykorzystania pełnej ilości przedmiotu zamówienia, Wykonawca nie będzie dochodził  wszelkich roszczeń odszkodowawczych zgodnie z zapisem </w:t>
      </w:r>
      <w:r w:rsidR="00985F23" w:rsidRPr="00D30395">
        <w:rPr>
          <w:rFonts w:ascii="Times New Roman" w:hAnsi="Times New Roman" w:cs="Times New Roman"/>
          <w:sz w:val="24"/>
          <w:szCs w:val="24"/>
          <w:lang w:eastAsia="en-US"/>
        </w:rPr>
        <w:t>§6</w:t>
      </w:r>
      <w:r w:rsidR="00985F23">
        <w:rPr>
          <w:rFonts w:ascii="Times New Roman" w:hAnsi="Times New Roman" w:cs="Times New Roman"/>
          <w:sz w:val="24"/>
          <w:szCs w:val="24"/>
          <w:lang w:eastAsia="en-US"/>
        </w:rPr>
        <w:t xml:space="preserve"> ust. 2 projektu umowy.</w:t>
      </w:r>
    </w:p>
    <w:p w:rsidR="00F03D14" w:rsidRDefault="00F03D14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D14" w:rsidRPr="00A1286F" w:rsidRDefault="00F03D14" w:rsidP="00F03D14">
      <w:pPr>
        <w:rPr>
          <w:rFonts w:eastAsia="Calibri"/>
          <w:b/>
          <w:bCs/>
        </w:rPr>
      </w:pPr>
    </w:p>
    <w:p w:rsidR="00F03D14" w:rsidRDefault="00F03D14" w:rsidP="00F03D14">
      <w:r w:rsidRPr="00F03D14">
        <w:rPr>
          <w:rFonts w:ascii="Times New Roman" w:hAnsi="Times New Roman" w:cs="Times New Roman"/>
        </w:rPr>
        <w:lastRenderedPageBreak/>
        <w:t>Do §6 ust. 1 lit. a wzoru umowy. W §6 ust. 1 lit. a wzoru umowy Zamawiający zastrzegł kary umowne na wypadek opóźnienia Wykonawcy w dokonaniu dostawy asortymentu podając dwie wysokości kar związane z długością opóźnienia, przy czym nie podał przedziałów czasowych, od których uzależnione jest naliczenie kary umownej w określonej wysokości. W związku z powyższym zwracamy się z prośbą o sprecyzowanie przedmiotowej kwestii</w:t>
      </w:r>
      <w:r>
        <w:t>.</w:t>
      </w:r>
    </w:p>
    <w:p w:rsidR="00F03D14" w:rsidRDefault="00F03D14" w:rsidP="00F03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Wyjaśnienie</w:t>
      </w:r>
    </w:p>
    <w:p w:rsidR="00985F23" w:rsidRDefault="00F03D14" w:rsidP="00985F23">
      <w:pPr>
        <w:pStyle w:val="Akapitzlist"/>
        <w:ind w:left="0"/>
        <w:rPr>
          <w:bCs/>
          <w:lang w:eastAsia="en-US"/>
        </w:rPr>
      </w:pPr>
      <w:r>
        <w:t xml:space="preserve"> </w:t>
      </w:r>
      <w:r w:rsidR="00985F23">
        <w:rPr>
          <w:bCs/>
          <w:lang w:eastAsia="en-US"/>
        </w:rPr>
        <w:t xml:space="preserve">Wykonawca w formularzu ofertowym  zobowiązany jest do wskazania terminu dostaw  w dniach   </w:t>
      </w:r>
    </w:p>
    <w:p w:rsidR="00985F23" w:rsidRPr="008775A0" w:rsidRDefault="00985F23" w:rsidP="00985F23">
      <w:pPr>
        <w:pStyle w:val="Akapitzlist"/>
        <w:ind w:left="0"/>
        <w:rPr>
          <w:bCs/>
          <w:lang w:eastAsia="en-US"/>
        </w:rPr>
      </w:pPr>
      <w:r>
        <w:rPr>
          <w:bCs/>
          <w:lang w:eastAsia="en-US"/>
        </w:rPr>
        <w:t xml:space="preserve">  roboczych. Wskazany termin będzie wiązał się z wysokością naliczanych kar z tytułu opóźnienia.</w:t>
      </w:r>
    </w:p>
    <w:p w:rsidR="00F03D14" w:rsidRPr="00985F23" w:rsidRDefault="00F03D14" w:rsidP="00985F23">
      <w:pPr>
        <w:rPr>
          <w:rFonts w:eastAsia="Calibri"/>
        </w:rPr>
      </w:pPr>
    </w:p>
    <w:p w:rsidR="00F03D14" w:rsidRDefault="00F03D14" w:rsidP="00F03D14">
      <w:pPr>
        <w:jc w:val="both"/>
        <w:rPr>
          <w:rFonts w:ascii="Times New Roman" w:hAnsi="Times New Roman" w:cs="Times New Roman"/>
        </w:rPr>
      </w:pPr>
      <w:r w:rsidRPr="00985F23">
        <w:rPr>
          <w:rFonts w:ascii="Times New Roman" w:hAnsi="Times New Roman" w:cs="Times New Roman"/>
        </w:rPr>
        <w:t>Czy w stosunku do Zamawiającego na chwilę obecną aktualizują się przesłanki „niewypłacalności” oraz „zagrożenia niewypłacalnością” w rozumieniu art. 6 ustawy z dn. 1.01.2016r. – Prawo restrukturyzacyjne (Dz.U.2015.978 z późn. zm.) oraz art. 10 ustawy z dn. 28.02.2003r. – Prawo upadłościowe (Dz.U.60.535 z późn. zm.)? Czy według wiedzy Zamawiającego w/w przesłanki staną się aktualne w okresie od chwili obecnej do zakończenia umowy zawartej na skutek niniejszego postępowania?</w:t>
      </w:r>
    </w:p>
    <w:p w:rsidR="00985F23" w:rsidRPr="00985F23" w:rsidRDefault="00985F23" w:rsidP="00985F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Wyjaśnienie</w:t>
      </w:r>
    </w:p>
    <w:p w:rsidR="00985F23" w:rsidRPr="00D30395" w:rsidRDefault="00985F23" w:rsidP="00985F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1FEB">
        <w:rPr>
          <w:rFonts w:ascii="Times New Roman" w:hAnsi="Times New Roman" w:cs="Times New Roman"/>
          <w:bCs/>
          <w:lang w:eastAsia="en-US"/>
        </w:rPr>
        <w:t>W stosunku do zamawiającego nie  występują przesłanki „ niewypłacalności” oraz „zagrożenia niewypłacalnością”</w:t>
      </w:r>
      <w:r>
        <w:rPr>
          <w:rFonts w:ascii="Times New Roman" w:hAnsi="Times New Roman" w:cs="Times New Roman"/>
          <w:bCs/>
          <w:lang w:eastAsia="en-US"/>
        </w:rPr>
        <w:t xml:space="preserve"> i według wiedzy Zamawiającego</w:t>
      </w:r>
      <w:r w:rsidRPr="00991FEB">
        <w:rPr>
          <w:rFonts w:ascii="Times New Roman" w:hAnsi="Times New Roman" w:cs="Times New Roman"/>
          <w:bCs/>
          <w:lang w:eastAsia="en-US"/>
        </w:rPr>
        <w:t xml:space="preserve"> nie wystąpią </w:t>
      </w:r>
      <w:r w:rsidRPr="00D30395">
        <w:rPr>
          <w:rFonts w:ascii="Times New Roman" w:hAnsi="Times New Roman" w:cs="Times New Roman"/>
          <w:sz w:val="24"/>
          <w:szCs w:val="24"/>
          <w:lang w:eastAsia="en-US"/>
        </w:rPr>
        <w:t xml:space="preserve">do zakończenia umowy zawartej na </w:t>
      </w:r>
      <w:r>
        <w:rPr>
          <w:rFonts w:ascii="Times New Roman" w:hAnsi="Times New Roman" w:cs="Times New Roman"/>
          <w:sz w:val="24"/>
          <w:szCs w:val="24"/>
          <w:lang w:eastAsia="en-US"/>
        </w:rPr>
        <w:t>skutek niniejszego postępowania.</w:t>
      </w:r>
    </w:p>
    <w:p w:rsidR="00985F23" w:rsidRDefault="00985F23" w:rsidP="00985F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D14" w:rsidRPr="00985F23" w:rsidRDefault="00985F23" w:rsidP="00985F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p w:rsidR="00F03D14" w:rsidRPr="00985F23" w:rsidRDefault="00F03D14" w:rsidP="00985F23">
      <w:pPr>
        <w:jc w:val="both"/>
        <w:rPr>
          <w:rFonts w:ascii="Times New Roman" w:hAnsi="Times New Roman" w:cs="Times New Roman"/>
        </w:rPr>
      </w:pPr>
      <w:r w:rsidRPr="00985F23">
        <w:rPr>
          <w:rFonts w:ascii="Times New Roman" w:hAnsi="Times New Roman" w:cs="Times New Roman"/>
        </w:rPr>
        <w:t>Czy Zamawiający wyrazi zgodę na ustanowienie ze swojej strony zabezpieczeń cywilnoprawnych prawidłowego wykonania umowy przetargowej, w jednej z następujących postaci:</w:t>
      </w:r>
    </w:p>
    <w:p w:rsidR="00F03D14" w:rsidRPr="00985F23" w:rsidRDefault="00F03D14" w:rsidP="00F03D14">
      <w:pPr>
        <w:pStyle w:val="Akapitzlist"/>
        <w:jc w:val="both"/>
        <w:rPr>
          <w:rFonts w:eastAsia="Calibri"/>
        </w:rPr>
      </w:pPr>
      <w:r w:rsidRPr="00985F23">
        <w:t>- cesji na zabezpieczenie w Narodowym Funduszu Zdrowia;</w:t>
      </w:r>
    </w:p>
    <w:p w:rsidR="00F03D14" w:rsidRPr="00985F23" w:rsidRDefault="00F03D14" w:rsidP="00F03D14">
      <w:pPr>
        <w:pStyle w:val="Akapitzlist"/>
        <w:jc w:val="both"/>
      </w:pPr>
      <w:r w:rsidRPr="00985F23">
        <w:t>- weksla in blanco wraz z deklaracją;</w:t>
      </w:r>
    </w:p>
    <w:p w:rsidR="00F03D14" w:rsidRPr="00985F23" w:rsidRDefault="00F03D14" w:rsidP="00F03D14">
      <w:pPr>
        <w:pStyle w:val="Akapitzlist"/>
        <w:jc w:val="both"/>
      </w:pPr>
      <w:r w:rsidRPr="00985F23">
        <w:t>- poręczenia podmiotu trzeciego, np. wspólnika lub organu założycielskiego;</w:t>
      </w:r>
    </w:p>
    <w:p w:rsidR="00F03D14" w:rsidRPr="00985F23" w:rsidRDefault="00F03D14" w:rsidP="00F03D14">
      <w:pPr>
        <w:pStyle w:val="Akapitzlist"/>
        <w:jc w:val="both"/>
      </w:pPr>
      <w:r w:rsidRPr="00985F23">
        <w:t>- zabezpieczenia rzeczowego np. zastawu rejestrowego</w:t>
      </w:r>
    </w:p>
    <w:p w:rsidR="00F03D14" w:rsidRPr="00985F23" w:rsidRDefault="00F03D14" w:rsidP="00F03D14">
      <w:pPr>
        <w:pStyle w:val="Akapitzlist"/>
        <w:jc w:val="both"/>
      </w:pPr>
      <w:r w:rsidRPr="00985F23">
        <w:t>lub w jakiejkolwiek innej formie stanowiącej zabezpieczenie wierzytelności Wykonawcy skuteczne w przypadku ewentualnego otwarcia w stosunku do Zamawiającego postępowania restrukturyzacyjnego lub upadłościowego? 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późn. zm.) i ustawie z dn. 28.02.2003r. – Prawo upadłościowe (Dz.U.60.535 z późn. zm.).</w:t>
      </w:r>
    </w:p>
    <w:p w:rsidR="00985F23" w:rsidRDefault="00985F23" w:rsidP="00985F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Wyjaśnienie</w:t>
      </w:r>
    </w:p>
    <w:p w:rsidR="00F03D14" w:rsidRPr="00985F23" w:rsidRDefault="00985F23" w:rsidP="00985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Zamawiający nie wyraża zgody.</w:t>
      </w:r>
    </w:p>
    <w:p w:rsidR="00F03D14" w:rsidRPr="00985F23" w:rsidRDefault="00F03D14" w:rsidP="00AD3FC9">
      <w:pPr>
        <w:jc w:val="both"/>
        <w:rPr>
          <w:rFonts w:ascii="Times New Roman" w:hAnsi="Times New Roman" w:cs="Times New Roman"/>
        </w:rPr>
      </w:pPr>
      <w:r w:rsidRPr="00985F23">
        <w:rPr>
          <w:rFonts w:ascii="Times New Roman" w:hAnsi="Times New Roman" w:cs="Times New Roman"/>
        </w:rPr>
        <w:t xml:space="preserve">Zadanie 3 </w:t>
      </w:r>
    </w:p>
    <w:p w:rsidR="00F03D14" w:rsidRPr="00985F23" w:rsidRDefault="00F03D14" w:rsidP="00AD3FC9">
      <w:pPr>
        <w:jc w:val="both"/>
        <w:rPr>
          <w:rFonts w:ascii="Times New Roman" w:hAnsi="Times New Roman" w:cs="Times New Roman"/>
        </w:rPr>
      </w:pPr>
      <w:r w:rsidRPr="00985F23">
        <w:rPr>
          <w:rFonts w:ascii="Times New Roman" w:hAnsi="Times New Roman" w:cs="Times New Roman"/>
        </w:rPr>
        <w:t>poz. 2. Czy Zamawiający dopuści do oceny preparat do odkażania i wspomagającego leczenia małych, powierzchownych ran oraz dezynfekcji skóry przed zabiegami niechirurgicznymi, wspomagającego postępowania antyseptycznego w obrębie zamkniętych powłok skórnych po zabiegach – np. szwów pozabiegowych, wielokrotnego, krótkotrwałego leczenia antyseptycznego w obrębie błon śluzowych i sąsiadujących tkanek przed i po procedurach diagnostycznych w obrębie narządów płciowych i odbytu, w tym pochwy, sromu i żołędzi prącia, a także przed cewnikowaniem pęcherza moczowego, w pediatrii (m. in. do pielęgnacji kikuta pępowinowego), do dezynfekcji jamy ustnej (np. afty, podrażnienia spowodowane noszeniem aparatu ortodontycznego lub protezy dentystycznej) , ograniczonego czasowo, wspomagającego leczenia antyseptycznego grzybicy międzypalcowej, w obrębie narządów rodnych np. stanach zapalnych pochwy, a także w obrębie żołędzi prącia mężczyzny. Produkt bezbarwny, gotowy do użycia, na bazie octenidyny, bez zawartości jodu. Produkt nie wpływa negatywnie na proces gojenia ran. Spektrum działania: B (Chlamydium i Mycoplasma), grzyby, drożdżaki, pierwotniaki (Trichomonas),</w:t>
      </w:r>
      <w:r>
        <w:t xml:space="preserve"> </w:t>
      </w:r>
      <w:r w:rsidRPr="00985F23">
        <w:rPr>
          <w:rFonts w:ascii="Times New Roman" w:hAnsi="Times New Roman" w:cs="Times New Roman"/>
        </w:rPr>
        <w:t>wirusy (HSV, HBV, HIV). Działanie produktu leczniczego utrzymuje się w czasie 1 godziny. Produkt leczniczy, opakowanie: 250 ml z atomizerem</w:t>
      </w:r>
    </w:p>
    <w:p w:rsidR="00985F23" w:rsidRDefault="00985F23" w:rsidP="00985F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Wyjaśnienie</w:t>
      </w:r>
    </w:p>
    <w:p w:rsidR="00A47205" w:rsidRPr="00E06EA5" w:rsidRDefault="00A47205" w:rsidP="00A472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Zamawiający dopuszcza. </w:t>
      </w:r>
    </w:p>
    <w:p w:rsidR="00985F23" w:rsidRDefault="00985F23" w:rsidP="00985F23">
      <w:pPr>
        <w:jc w:val="both"/>
      </w:pPr>
    </w:p>
    <w:p w:rsidR="00E06EA5" w:rsidRPr="008E5BFE" w:rsidRDefault="00F03D14" w:rsidP="00AD3FC9">
      <w:pPr>
        <w:jc w:val="both"/>
        <w:rPr>
          <w:rFonts w:ascii="Times New Roman" w:hAnsi="Times New Roman" w:cs="Times New Roman"/>
        </w:rPr>
      </w:pPr>
      <w:r w:rsidRPr="00985F23">
        <w:rPr>
          <w:rFonts w:ascii="Times New Roman" w:hAnsi="Times New Roman" w:cs="Times New Roman"/>
        </w:rPr>
        <w:t>poz. 3. Czy Zamawiający dopuści do oceny preparat do odkażania i wspomagającego leczenia małych, powierzchownych ran oraz dezynfekcji skóry przed zabiegami niechirurgicznymi, wspomagającego postępowania antyseptycznego w obrębie zamkniętych powłok skórnych po zabiegach – np. szwów pozabiegowych, wielokrotnego, krótkotrwałego leczenia antyseptycznego w obrębie błon śluzowych i sąsiadujących tkanek przed i po procedurach diagnostycznych w obrębie narządów płciowych i odbytu, w tym pochwy, sromu i żołędzi prącia, a także przed cewnikowaniem pęcherza moczowego, w pediatrii (m. in. do pielęgnacji kikuta pępowinowego), do dezynfekcji jamy ustnej (np. afty, podrażnienia spowodowane noszeniem aparatu ortodontycznego lub protezy dentystycznej) , ograniczonego czasowo, wspomagającego leczenia antyseptycznego grzybicy międzypalcowej, w obrębie narządów rodnych np. stanach zapalnych pochwy, a także w obrębie żołędzi prącia mężczyzny. Produkt bezbarwny, gotowy do użycia, na bazie octenidyny, bez zawartości jodu. Produkt nie wpływa negatywnie na proces gojenia ran.</w:t>
      </w:r>
      <w:r w:rsidR="008E5BFE" w:rsidRPr="008E5BFE">
        <w:t xml:space="preserve"> </w:t>
      </w:r>
      <w:r w:rsidR="008E5BFE" w:rsidRPr="008E5BFE">
        <w:rPr>
          <w:rFonts w:ascii="Times New Roman" w:hAnsi="Times New Roman" w:cs="Times New Roman"/>
        </w:rPr>
        <w:t>Spektrum działania: B (Chlamydium i Mycoplasma), grzyby, drożdżaki, pierwotniaki (Trichomonas), wirusy (HSV, HBV, HIV). Działanie produktu leczniczego utrzymuje się w czasie 1 godziny. Produkt leczniczy, opakowanie:1L</w:t>
      </w:r>
    </w:p>
    <w:p w:rsidR="003A79F2" w:rsidRDefault="003A79F2" w:rsidP="003A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Wyjaśnienie</w:t>
      </w:r>
    </w:p>
    <w:p w:rsidR="00A47205" w:rsidRPr="00E06EA5" w:rsidRDefault="00A47205" w:rsidP="00A472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dopuszcza. </w:t>
      </w:r>
    </w:p>
    <w:p w:rsidR="00A47205" w:rsidRDefault="00A47205" w:rsidP="003A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722A" w:rsidRDefault="002C722A" w:rsidP="002C722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Prezes Zarządu</w:t>
      </w:r>
    </w:p>
    <w:p w:rsidR="002C722A" w:rsidRPr="003A79F2" w:rsidRDefault="002C722A" w:rsidP="002C722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/-/ Jolanta Dankiewicz</w:t>
      </w:r>
    </w:p>
    <w:sectPr w:rsidR="002C722A" w:rsidRPr="003A79F2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F8" w:rsidRDefault="00AA63F8" w:rsidP="00143915">
      <w:pPr>
        <w:spacing w:after="0" w:line="240" w:lineRule="auto"/>
      </w:pPr>
      <w:r>
        <w:separator/>
      </w:r>
    </w:p>
  </w:endnote>
  <w:endnote w:type="continuationSeparator" w:id="0">
    <w:p w:rsidR="00AA63F8" w:rsidRDefault="00AA63F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F8" w:rsidRDefault="00AA63F8" w:rsidP="00143915">
      <w:pPr>
        <w:spacing w:after="0" w:line="240" w:lineRule="auto"/>
      </w:pPr>
      <w:r>
        <w:separator/>
      </w:r>
    </w:p>
  </w:footnote>
  <w:footnote w:type="continuationSeparator" w:id="0">
    <w:p w:rsidR="00AA63F8" w:rsidRDefault="00AA63F8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01EDE"/>
    <w:multiLevelType w:val="hybridMultilevel"/>
    <w:tmpl w:val="94748C4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D614F"/>
    <w:multiLevelType w:val="hybridMultilevel"/>
    <w:tmpl w:val="D970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16"/>
  </w:num>
  <w:num w:numId="5">
    <w:abstractNumId w:val="3"/>
  </w:num>
  <w:num w:numId="6">
    <w:abstractNumId w:val="21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35558"/>
    <w:rsid w:val="00041934"/>
    <w:rsid w:val="000442E4"/>
    <w:rsid w:val="0005184E"/>
    <w:rsid w:val="00051FCE"/>
    <w:rsid w:val="00052D65"/>
    <w:rsid w:val="0005359B"/>
    <w:rsid w:val="00074F1F"/>
    <w:rsid w:val="000A2163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1AEC"/>
    <w:rsid w:val="00154F2F"/>
    <w:rsid w:val="00190C35"/>
    <w:rsid w:val="0019172B"/>
    <w:rsid w:val="001A1C5A"/>
    <w:rsid w:val="001A2753"/>
    <w:rsid w:val="001A34B2"/>
    <w:rsid w:val="001A77A3"/>
    <w:rsid w:val="001B61C2"/>
    <w:rsid w:val="001C5BA4"/>
    <w:rsid w:val="001C7730"/>
    <w:rsid w:val="001E012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C3A1F"/>
    <w:rsid w:val="002C722A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25A3C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A79F2"/>
    <w:rsid w:val="003B36B6"/>
    <w:rsid w:val="003B3AB5"/>
    <w:rsid w:val="003C06B7"/>
    <w:rsid w:val="003C7BFE"/>
    <w:rsid w:val="003D1723"/>
    <w:rsid w:val="003F3077"/>
    <w:rsid w:val="00413D5A"/>
    <w:rsid w:val="00430FF1"/>
    <w:rsid w:val="00440CFA"/>
    <w:rsid w:val="00443721"/>
    <w:rsid w:val="004652EB"/>
    <w:rsid w:val="00470156"/>
    <w:rsid w:val="0047384B"/>
    <w:rsid w:val="00476FB1"/>
    <w:rsid w:val="00480896"/>
    <w:rsid w:val="004C7915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54F5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E43CA"/>
    <w:rsid w:val="006F2AD1"/>
    <w:rsid w:val="0070056F"/>
    <w:rsid w:val="0070169D"/>
    <w:rsid w:val="00703A74"/>
    <w:rsid w:val="00704BBB"/>
    <w:rsid w:val="00705FED"/>
    <w:rsid w:val="00723A7B"/>
    <w:rsid w:val="0073234E"/>
    <w:rsid w:val="00740EB6"/>
    <w:rsid w:val="00744E7D"/>
    <w:rsid w:val="007475C5"/>
    <w:rsid w:val="0077170D"/>
    <w:rsid w:val="00773831"/>
    <w:rsid w:val="007B3F2C"/>
    <w:rsid w:val="007B6B93"/>
    <w:rsid w:val="007B75CA"/>
    <w:rsid w:val="007C32FB"/>
    <w:rsid w:val="007D7092"/>
    <w:rsid w:val="007D76D7"/>
    <w:rsid w:val="007E1AAA"/>
    <w:rsid w:val="007E36CF"/>
    <w:rsid w:val="007F1DA7"/>
    <w:rsid w:val="007F65D4"/>
    <w:rsid w:val="00813777"/>
    <w:rsid w:val="00820F99"/>
    <w:rsid w:val="00842D98"/>
    <w:rsid w:val="00854772"/>
    <w:rsid w:val="008615E2"/>
    <w:rsid w:val="008759BA"/>
    <w:rsid w:val="008A1ED6"/>
    <w:rsid w:val="008B357B"/>
    <w:rsid w:val="008D0EE9"/>
    <w:rsid w:val="008D1649"/>
    <w:rsid w:val="008E1030"/>
    <w:rsid w:val="008E1FCE"/>
    <w:rsid w:val="008E5BF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47D73"/>
    <w:rsid w:val="00951E44"/>
    <w:rsid w:val="0095290C"/>
    <w:rsid w:val="00960F75"/>
    <w:rsid w:val="00963A7C"/>
    <w:rsid w:val="009813B7"/>
    <w:rsid w:val="00982407"/>
    <w:rsid w:val="00985F23"/>
    <w:rsid w:val="0099160D"/>
    <w:rsid w:val="00997DF6"/>
    <w:rsid w:val="009A6BBD"/>
    <w:rsid w:val="009A6EB6"/>
    <w:rsid w:val="009C0F27"/>
    <w:rsid w:val="009C3D1D"/>
    <w:rsid w:val="009D237C"/>
    <w:rsid w:val="009D7C9E"/>
    <w:rsid w:val="009F6ABA"/>
    <w:rsid w:val="00A12076"/>
    <w:rsid w:val="00A25EE0"/>
    <w:rsid w:val="00A27300"/>
    <w:rsid w:val="00A32048"/>
    <w:rsid w:val="00A36656"/>
    <w:rsid w:val="00A37EF1"/>
    <w:rsid w:val="00A45DD4"/>
    <w:rsid w:val="00A47205"/>
    <w:rsid w:val="00A735ED"/>
    <w:rsid w:val="00A7751F"/>
    <w:rsid w:val="00A83FDB"/>
    <w:rsid w:val="00AA4DDC"/>
    <w:rsid w:val="00AA63F8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507E"/>
    <w:rsid w:val="00B62A47"/>
    <w:rsid w:val="00B62C79"/>
    <w:rsid w:val="00B66C98"/>
    <w:rsid w:val="00B73ABC"/>
    <w:rsid w:val="00B76F7F"/>
    <w:rsid w:val="00B801EA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C04D39"/>
    <w:rsid w:val="00C16170"/>
    <w:rsid w:val="00C24D10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CF6F11"/>
    <w:rsid w:val="00D06FE2"/>
    <w:rsid w:val="00D14A06"/>
    <w:rsid w:val="00D27F36"/>
    <w:rsid w:val="00D42855"/>
    <w:rsid w:val="00D50166"/>
    <w:rsid w:val="00D716FD"/>
    <w:rsid w:val="00D721ED"/>
    <w:rsid w:val="00D72606"/>
    <w:rsid w:val="00D9760B"/>
    <w:rsid w:val="00DA3039"/>
    <w:rsid w:val="00DB257A"/>
    <w:rsid w:val="00DB30CF"/>
    <w:rsid w:val="00DB476E"/>
    <w:rsid w:val="00DB7F49"/>
    <w:rsid w:val="00DD03AA"/>
    <w:rsid w:val="00DD2BD5"/>
    <w:rsid w:val="00DE3228"/>
    <w:rsid w:val="00DE61E8"/>
    <w:rsid w:val="00DF161F"/>
    <w:rsid w:val="00E00C39"/>
    <w:rsid w:val="00E06EA5"/>
    <w:rsid w:val="00E07BD1"/>
    <w:rsid w:val="00E150F5"/>
    <w:rsid w:val="00E20986"/>
    <w:rsid w:val="00E56AD8"/>
    <w:rsid w:val="00E62FE0"/>
    <w:rsid w:val="00E96D2B"/>
    <w:rsid w:val="00EB1051"/>
    <w:rsid w:val="00EB2EEF"/>
    <w:rsid w:val="00EB42DE"/>
    <w:rsid w:val="00EB602E"/>
    <w:rsid w:val="00EC10A1"/>
    <w:rsid w:val="00EC7D36"/>
    <w:rsid w:val="00EE1A56"/>
    <w:rsid w:val="00EE32E1"/>
    <w:rsid w:val="00EF39D3"/>
    <w:rsid w:val="00F03516"/>
    <w:rsid w:val="00F03D14"/>
    <w:rsid w:val="00F20AB8"/>
    <w:rsid w:val="00F22FEA"/>
    <w:rsid w:val="00F23F91"/>
    <w:rsid w:val="00F25652"/>
    <w:rsid w:val="00F30CE6"/>
    <w:rsid w:val="00F42129"/>
    <w:rsid w:val="00F5548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B2AD7"/>
    <w:rsid w:val="00FC0D4A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56BA7"/>
    <w:rsid w:val="0006482A"/>
    <w:rsid w:val="00077A39"/>
    <w:rsid w:val="000C37F9"/>
    <w:rsid w:val="000D4E29"/>
    <w:rsid w:val="001053FF"/>
    <w:rsid w:val="00132010"/>
    <w:rsid w:val="00166A94"/>
    <w:rsid w:val="00180548"/>
    <w:rsid w:val="001969B7"/>
    <w:rsid w:val="001C2C9C"/>
    <w:rsid w:val="001D40D0"/>
    <w:rsid w:val="00200BE1"/>
    <w:rsid w:val="00201F02"/>
    <w:rsid w:val="002428A8"/>
    <w:rsid w:val="00294337"/>
    <w:rsid w:val="002B2C23"/>
    <w:rsid w:val="00321305"/>
    <w:rsid w:val="003A5946"/>
    <w:rsid w:val="003C574D"/>
    <w:rsid w:val="003E1935"/>
    <w:rsid w:val="00430C9A"/>
    <w:rsid w:val="004700BB"/>
    <w:rsid w:val="004766CE"/>
    <w:rsid w:val="004A75CD"/>
    <w:rsid w:val="004B6F2D"/>
    <w:rsid w:val="004D7E8E"/>
    <w:rsid w:val="004E34F3"/>
    <w:rsid w:val="004E38B0"/>
    <w:rsid w:val="00543D7B"/>
    <w:rsid w:val="005647A5"/>
    <w:rsid w:val="00580ABC"/>
    <w:rsid w:val="0058375F"/>
    <w:rsid w:val="005C1AF9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05B9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893C7F"/>
    <w:rsid w:val="008A0CBA"/>
    <w:rsid w:val="00904CB8"/>
    <w:rsid w:val="009411B3"/>
    <w:rsid w:val="00957BE5"/>
    <w:rsid w:val="0099318F"/>
    <w:rsid w:val="009B2BCE"/>
    <w:rsid w:val="009C08E7"/>
    <w:rsid w:val="009D34A0"/>
    <w:rsid w:val="009D6073"/>
    <w:rsid w:val="009E009F"/>
    <w:rsid w:val="00A41C22"/>
    <w:rsid w:val="00B41A42"/>
    <w:rsid w:val="00B6611A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821B8"/>
    <w:rsid w:val="00D91CEB"/>
    <w:rsid w:val="00D95078"/>
    <w:rsid w:val="00DC4616"/>
    <w:rsid w:val="00E42432"/>
    <w:rsid w:val="00E6424D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6AE10-D441-475E-B5BB-B8E6AA4C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23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11</cp:revision>
  <cp:lastPrinted>2020-10-21T06:53:00Z</cp:lastPrinted>
  <dcterms:created xsi:type="dcterms:W3CDTF">2020-10-19T05:37:00Z</dcterms:created>
  <dcterms:modified xsi:type="dcterms:W3CDTF">2020-10-21T07:02:00Z</dcterms:modified>
</cp:coreProperties>
</file>